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shd w:val="clear" w:color="auto" w:fill="EAF0F6"/>
        <w:tblCellMar>
          <w:left w:w="0" w:type="dxa"/>
          <w:right w:w="0" w:type="dxa"/>
        </w:tblCellMar>
        <w:tblLook w:val="04A0" w:firstRow="1" w:lastRow="0" w:firstColumn="1" w:lastColumn="0" w:noHBand="0" w:noVBand="1"/>
      </w:tblPr>
      <w:tblGrid>
        <w:gridCol w:w="9000"/>
      </w:tblGrid>
      <w:tr w:rsidR="00AC0C9A" w14:paraId="396DCC9C" w14:textId="77777777" w:rsidTr="00AC0C9A">
        <w:trPr>
          <w:jc w:val="center"/>
        </w:trPr>
        <w:tc>
          <w:tcPr>
            <w:tcW w:w="0" w:type="auto"/>
            <w:shd w:val="clear" w:color="auto" w:fill="EAF0F6"/>
            <w:vAlign w:val="center"/>
            <w:hideMark/>
          </w:tcPr>
          <w:tbl>
            <w:tblPr>
              <w:tblW w:w="5000" w:type="pct"/>
              <w:jc w:val="center"/>
              <w:shd w:val="clear" w:color="auto" w:fill="EAF0F6"/>
              <w:tblCellMar>
                <w:left w:w="0" w:type="dxa"/>
                <w:right w:w="0" w:type="dxa"/>
              </w:tblCellMar>
              <w:tblLook w:val="04A0" w:firstRow="1" w:lastRow="0" w:firstColumn="1" w:lastColumn="0" w:noHBand="0" w:noVBand="1"/>
            </w:tblPr>
            <w:tblGrid>
              <w:gridCol w:w="9000"/>
            </w:tblGrid>
            <w:tr w:rsidR="00AC0C9A" w14:paraId="7648CFA9" w14:textId="77777777">
              <w:trPr>
                <w:jc w:val="center"/>
              </w:trPr>
              <w:tc>
                <w:tcPr>
                  <w:tcW w:w="0" w:type="auto"/>
                  <w:shd w:val="clear" w:color="auto" w:fill="EAF0F6"/>
                  <w:tcMar>
                    <w:top w:w="150" w:type="dxa"/>
                    <w:left w:w="300" w:type="dxa"/>
                    <w:bottom w:w="15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8400"/>
                  </w:tblGrid>
                  <w:tr w:rsidR="00AC0C9A" w14:paraId="11423360" w14:textId="77777777">
                    <w:trPr>
                      <w:jc w:val="center"/>
                    </w:trPr>
                    <w:tc>
                      <w:tcPr>
                        <w:tcW w:w="8400" w:type="dxa"/>
                        <w:hideMark/>
                      </w:tcPr>
                      <w:tbl>
                        <w:tblPr>
                          <w:tblW w:w="5000" w:type="pct"/>
                          <w:tblCellMar>
                            <w:left w:w="0" w:type="dxa"/>
                            <w:right w:w="0" w:type="dxa"/>
                          </w:tblCellMar>
                          <w:tblLook w:val="04A0" w:firstRow="1" w:lastRow="0" w:firstColumn="1" w:lastColumn="0" w:noHBand="0" w:noVBand="1"/>
                        </w:tblPr>
                        <w:tblGrid>
                          <w:gridCol w:w="8400"/>
                        </w:tblGrid>
                        <w:tr w:rsidR="00AC0C9A" w14:paraId="0C865016" w14:textId="77777777">
                          <w:tc>
                            <w:tcPr>
                              <w:tcW w:w="0" w:type="auto"/>
                              <w:tcMar>
                                <w:top w:w="150" w:type="dxa"/>
                                <w:left w:w="300" w:type="dxa"/>
                                <w:bottom w:w="150" w:type="dxa"/>
                                <w:right w:w="300" w:type="dxa"/>
                              </w:tcMar>
                              <w:vAlign w:val="center"/>
                              <w:hideMark/>
                            </w:tcPr>
                            <w:p w14:paraId="0916175F" w14:textId="77777777" w:rsidR="00AC0C9A" w:rsidRDefault="00AC0C9A">
                              <w:pPr>
                                <w:pStyle w:val="Heading2"/>
                                <w:jc w:val="center"/>
                                <w:rPr>
                                  <w:rFonts w:ascii="Ubuntu" w:eastAsia="Times New Roman" w:hAnsi="Ubuntu"/>
                                  <w:color w:val="000000"/>
                                </w:rPr>
                              </w:pPr>
                              <w:r>
                                <w:rPr>
                                  <w:rStyle w:val="Strong"/>
                                  <w:rFonts w:ascii="Ubuntu" w:eastAsia="Times New Roman" w:hAnsi="Ubuntu"/>
                                  <w:b/>
                                  <w:bCs/>
                                  <w:color w:val="2DC26B"/>
                                  <w:sz w:val="72"/>
                                  <w:szCs w:val="72"/>
                                </w:rPr>
                                <w:t>Independent Person Network</w:t>
                              </w:r>
                            </w:p>
                            <w:p w14:paraId="2F8B4296" w14:textId="77777777" w:rsidR="00AC0C9A" w:rsidRDefault="00AC0C9A">
                              <w:pPr>
                                <w:pStyle w:val="NormalWeb"/>
                                <w:jc w:val="center"/>
                                <w:rPr>
                                  <w:rFonts w:ascii="Ubuntu" w:eastAsiaTheme="minorHAnsi" w:hAnsi="Ubuntu"/>
                                  <w:color w:val="000000"/>
                                  <w:sz w:val="21"/>
                                  <w:szCs w:val="21"/>
                                </w:rPr>
                              </w:pPr>
                              <w:r>
                                <w:rPr>
                                  <w:rFonts w:ascii="Ubuntu" w:eastAsiaTheme="minorHAnsi" w:hAnsi="Ubuntu"/>
                                  <w:color w:val="2DC26B"/>
                                  <w:sz w:val="72"/>
                                  <w:szCs w:val="72"/>
                                </w:rPr>
                                <w:t>September 2022 update</w:t>
                              </w:r>
                            </w:p>
                          </w:tc>
                        </w:tr>
                        <w:tr w:rsidR="00AC0C9A" w14:paraId="5BF7A984" w14:textId="77777777">
                          <w:tc>
                            <w:tcPr>
                              <w:tcW w:w="0" w:type="auto"/>
                              <w:tcMar>
                                <w:top w:w="150" w:type="dxa"/>
                                <w:left w:w="300" w:type="dxa"/>
                                <w:bottom w:w="150" w:type="dxa"/>
                                <w:right w:w="300" w:type="dxa"/>
                              </w:tcMar>
                              <w:vAlign w:val="center"/>
                              <w:hideMark/>
                            </w:tcPr>
                            <w:tbl>
                              <w:tblPr>
                                <w:tblW w:w="7800" w:type="dxa"/>
                                <w:jc w:val="center"/>
                                <w:tblBorders>
                                  <w:top w:val="single" w:sz="12" w:space="0" w:color="63B3ED"/>
                                </w:tblBorders>
                                <w:tblCellMar>
                                  <w:left w:w="0" w:type="dxa"/>
                                  <w:right w:w="0" w:type="dxa"/>
                                </w:tblCellMar>
                                <w:tblLook w:val="04A0" w:firstRow="1" w:lastRow="0" w:firstColumn="1" w:lastColumn="0" w:noHBand="0" w:noVBand="1"/>
                              </w:tblPr>
                              <w:tblGrid>
                                <w:gridCol w:w="7800"/>
                              </w:tblGrid>
                              <w:tr w:rsidR="00AC0C9A" w14:paraId="7F3615C9" w14:textId="77777777">
                                <w:trPr>
                                  <w:jc w:val="center"/>
                                </w:trPr>
                                <w:tc>
                                  <w:tcPr>
                                    <w:tcW w:w="0" w:type="auto"/>
                                    <w:tcBorders>
                                      <w:top w:val="single" w:sz="12" w:space="0" w:color="63B3ED"/>
                                      <w:left w:val="nil"/>
                                      <w:bottom w:val="nil"/>
                                      <w:right w:val="nil"/>
                                    </w:tcBorders>
                                    <w:vAlign w:val="center"/>
                                    <w:hideMark/>
                                  </w:tcPr>
                                  <w:p w14:paraId="17BB158A" w14:textId="77777777" w:rsidR="00AC0C9A" w:rsidRDefault="00AC0C9A">
                                    <w:pPr>
                                      <w:spacing w:line="0" w:lineRule="auto"/>
                                      <w:rPr>
                                        <w:sz w:val="2"/>
                                        <w:szCs w:val="2"/>
                                      </w:rPr>
                                    </w:pPr>
                                    <w:r>
                                      <w:rPr>
                                        <w:sz w:val="2"/>
                                        <w:szCs w:val="2"/>
                                      </w:rPr>
                                      <w:t xml:space="preserve">  </w:t>
                                    </w:r>
                                  </w:p>
                                </w:tc>
                              </w:tr>
                            </w:tbl>
                            <w:p w14:paraId="58EECB3C" w14:textId="77777777" w:rsidR="00AC0C9A" w:rsidRDefault="00AC0C9A">
                              <w:pPr>
                                <w:jc w:val="center"/>
                                <w:rPr>
                                  <w:rFonts w:ascii="Times New Roman" w:hAnsi="Times New Roman" w:cs="Times New Roman"/>
                                </w:rPr>
                              </w:pPr>
                            </w:p>
                          </w:tc>
                        </w:tr>
                        <w:tr w:rsidR="00AC0C9A" w14:paraId="1CAA0E67" w14:textId="77777777">
                          <w:tc>
                            <w:tcPr>
                              <w:tcW w:w="0" w:type="auto"/>
                              <w:tcMar>
                                <w:top w:w="150" w:type="dxa"/>
                                <w:left w:w="300" w:type="dxa"/>
                                <w:bottom w:w="150" w:type="dxa"/>
                                <w:right w:w="300" w:type="dxa"/>
                              </w:tcMar>
                              <w:vAlign w:val="center"/>
                              <w:hideMark/>
                            </w:tcPr>
                            <w:p w14:paraId="472F1C4C" w14:textId="77777777" w:rsidR="00AC0C9A" w:rsidRDefault="00AC0C9A">
                              <w:pPr>
                                <w:pStyle w:val="NormalWeb"/>
                                <w:rPr>
                                  <w:rFonts w:ascii="Ubuntu" w:eastAsiaTheme="minorHAnsi" w:hAnsi="Ubuntu"/>
                                  <w:color w:val="000000"/>
                                  <w:sz w:val="21"/>
                                  <w:szCs w:val="21"/>
                                </w:rPr>
                              </w:pPr>
                              <w:r>
                                <w:rPr>
                                  <w:rStyle w:val="Strong"/>
                                  <w:rFonts w:ascii="Ubuntu" w:eastAsiaTheme="minorHAnsi" w:hAnsi="Ubuntu"/>
                                  <w:color w:val="000000"/>
                                  <w:sz w:val="27"/>
                                  <w:szCs w:val="27"/>
                                </w:rPr>
                                <w:t>At the beginning of the Summer, the Regulation 44 Independent Person Network considered the Care Review and asked dialogue to undertake an analysis of the work of Regulation 44 visitors. We have been working hard on this, and to provide sufficient independence, we pulled together an advisory board including the DfE and Ofsted.</w:t>
                              </w:r>
                            </w:p>
                            <w:p w14:paraId="755D664C"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 xml:space="preserve">The first stage is a survey of people living and working in children’s homes – see below. This is now </w:t>
                              </w:r>
                              <w:proofErr w:type="gramStart"/>
                              <w:r>
                                <w:rPr>
                                  <w:rFonts w:ascii="Ubuntu" w:eastAsiaTheme="minorHAnsi" w:hAnsi="Ubuntu"/>
                                  <w:color w:val="000000"/>
                                  <w:sz w:val="27"/>
                                  <w:szCs w:val="27"/>
                                </w:rPr>
                                <w:t>live</w:t>
                              </w:r>
                              <w:proofErr w:type="gramEnd"/>
                              <w:r>
                                <w:rPr>
                                  <w:rFonts w:ascii="Ubuntu" w:eastAsiaTheme="minorHAnsi" w:hAnsi="Ubuntu"/>
                                  <w:color w:val="000000"/>
                                  <w:sz w:val="27"/>
                                  <w:szCs w:val="27"/>
                                </w:rPr>
                                <w:t xml:space="preserve"> and we’d welcome your contributions and circulation of the link. We will then be running groups and a further survey in late autumn, yet to be planned. </w:t>
                              </w:r>
                            </w:p>
                            <w:p w14:paraId="1B2A77E2"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The DfE have agreed the findings of our initial survey will be considered in the production of their response to the Care Review at the turn of the year.</w:t>
                              </w:r>
                            </w:p>
                            <w:p w14:paraId="4745DFC2"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We hope this meets with your satisfaction and look forward to feeding back early findings at our next meeting on 11th October 2022.</w:t>
                              </w:r>
                            </w:p>
                            <w:p w14:paraId="5EA5FA54"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Regards,</w:t>
                              </w:r>
                            </w:p>
                            <w:p w14:paraId="20815517"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The team at dialogue</w:t>
                              </w:r>
                            </w:p>
                          </w:tc>
                        </w:tr>
                        <w:tr w:rsidR="00AC0C9A" w14:paraId="4A788DDC" w14:textId="77777777">
                          <w:tc>
                            <w:tcPr>
                              <w:tcW w:w="0" w:type="auto"/>
                              <w:tcMar>
                                <w:top w:w="150" w:type="dxa"/>
                                <w:left w:w="300" w:type="dxa"/>
                                <w:bottom w:w="150" w:type="dxa"/>
                                <w:right w:w="300" w:type="dxa"/>
                              </w:tcMar>
                              <w:vAlign w:val="center"/>
                              <w:hideMark/>
                            </w:tcPr>
                            <w:tbl>
                              <w:tblPr>
                                <w:tblW w:w="7800" w:type="dxa"/>
                                <w:jc w:val="center"/>
                                <w:tblBorders>
                                  <w:top w:val="single" w:sz="12" w:space="0" w:color="63B3ED"/>
                                </w:tblBorders>
                                <w:tblCellMar>
                                  <w:left w:w="0" w:type="dxa"/>
                                  <w:right w:w="0" w:type="dxa"/>
                                </w:tblCellMar>
                                <w:tblLook w:val="04A0" w:firstRow="1" w:lastRow="0" w:firstColumn="1" w:lastColumn="0" w:noHBand="0" w:noVBand="1"/>
                              </w:tblPr>
                              <w:tblGrid>
                                <w:gridCol w:w="7800"/>
                              </w:tblGrid>
                              <w:tr w:rsidR="00AC0C9A" w14:paraId="2211F212" w14:textId="77777777">
                                <w:trPr>
                                  <w:jc w:val="center"/>
                                </w:trPr>
                                <w:tc>
                                  <w:tcPr>
                                    <w:tcW w:w="0" w:type="auto"/>
                                    <w:tcBorders>
                                      <w:top w:val="single" w:sz="12" w:space="0" w:color="63B3ED"/>
                                      <w:left w:val="nil"/>
                                      <w:bottom w:val="nil"/>
                                      <w:right w:val="nil"/>
                                    </w:tcBorders>
                                    <w:vAlign w:val="center"/>
                                    <w:hideMark/>
                                  </w:tcPr>
                                  <w:p w14:paraId="42F73DFD" w14:textId="77777777" w:rsidR="00AC0C9A" w:rsidRDefault="00AC0C9A">
                                    <w:pPr>
                                      <w:spacing w:line="0" w:lineRule="auto"/>
                                      <w:rPr>
                                        <w:sz w:val="2"/>
                                        <w:szCs w:val="2"/>
                                      </w:rPr>
                                    </w:pPr>
                                    <w:r>
                                      <w:rPr>
                                        <w:sz w:val="2"/>
                                        <w:szCs w:val="2"/>
                                      </w:rPr>
                                      <w:t xml:space="preserve">  </w:t>
                                    </w:r>
                                  </w:p>
                                </w:tc>
                              </w:tr>
                            </w:tbl>
                            <w:p w14:paraId="25806A3E" w14:textId="77777777" w:rsidR="00AC0C9A" w:rsidRDefault="00AC0C9A">
                              <w:pPr>
                                <w:jc w:val="center"/>
                                <w:rPr>
                                  <w:rFonts w:ascii="Times New Roman" w:hAnsi="Times New Roman" w:cs="Times New Roman"/>
                                </w:rPr>
                              </w:pPr>
                            </w:p>
                          </w:tc>
                        </w:tr>
                        <w:tr w:rsidR="00AC0C9A" w14:paraId="5A091F52" w14:textId="77777777">
                          <w:tc>
                            <w:tcPr>
                              <w:tcW w:w="0" w:type="auto"/>
                              <w:tcMar>
                                <w:top w:w="150" w:type="dxa"/>
                                <w:left w:w="300" w:type="dxa"/>
                                <w:bottom w:w="150" w:type="dxa"/>
                                <w:right w:w="300" w:type="dxa"/>
                              </w:tcMar>
                              <w:vAlign w:val="center"/>
                              <w:hideMark/>
                            </w:tcPr>
                            <w:p w14:paraId="0DE719C0" w14:textId="77777777" w:rsidR="00AC0C9A" w:rsidRDefault="00AC0C9A">
                              <w:pPr>
                                <w:pStyle w:val="NormalWeb"/>
                                <w:rPr>
                                  <w:rFonts w:ascii="Ubuntu" w:eastAsiaTheme="minorHAnsi" w:hAnsi="Ubuntu"/>
                                  <w:color w:val="000000"/>
                                  <w:sz w:val="21"/>
                                  <w:szCs w:val="21"/>
                                </w:rPr>
                              </w:pPr>
                              <w:r>
                                <w:rPr>
                                  <w:rStyle w:val="Strong"/>
                                  <w:rFonts w:ascii="Ubuntu" w:eastAsiaTheme="minorHAnsi" w:hAnsi="Ubuntu"/>
                                  <w:color w:val="169179"/>
                                  <w:sz w:val="33"/>
                                  <w:szCs w:val="33"/>
                                </w:rPr>
                                <w:t>Regulation 44 impact analysis</w:t>
                              </w:r>
                            </w:p>
                            <w:p w14:paraId="75D392A5" w14:textId="77777777" w:rsidR="00AC0C9A" w:rsidRDefault="00AC0C9A">
                              <w:pPr>
                                <w:pStyle w:val="NormalWeb"/>
                                <w:rPr>
                                  <w:rFonts w:ascii="Ubuntu" w:eastAsiaTheme="minorHAnsi" w:hAnsi="Ubuntu"/>
                                  <w:color w:val="000000"/>
                                  <w:sz w:val="21"/>
                                  <w:szCs w:val="21"/>
                                </w:rPr>
                              </w:pPr>
                              <w:r>
                                <w:rPr>
                                  <w:rStyle w:val="Strong"/>
                                  <w:rFonts w:ascii="Ubuntu" w:eastAsiaTheme="minorHAnsi" w:hAnsi="Ubuntu"/>
                                  <w:color w:val="000000"/>
                                  <w:sz w:val="27"/>
                                  <w:szCs w:val="27"/>
                                </w:rPr>
                                <w:lastRenderedPageBreak/>
                                <w:t>Ofsted, the Department for Education, the Children’s Homes Association, the Independent Person (Reg44) Network and University of Sussex are supporting work to identify the impact of Regulation 44 activity in children’s homes.</w:t>
                              </w:r>
                            </w:p>
                            <w:p w14:paraId="50ADB11C"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Anyone working in or living in children’s homes is invited to complete a confidential survey, the results of which will form the basis of discussions across the sector about the Regulation 44 role. Participants can elect to be part of further discussions on the role leading to recommendations to the Department for Education later this year and informing their response to the findings of the Care Review.</w:t>
                              </w:r>
                            </w:p>
                            <w:p w14:paraId="3270720A"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1"/>
                                  <w:szCs w:val="21"/>
                                </w:rPr>
                                <w:t> </w:t>
                              </w:r>
                            </w:p>
                            <w:p w14:paraId="1ED3AE92"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We would be grateful if you could share the link to the survey with:</w:t>
                              </w:r>
                            </w:p>
                            <w:p w14:paraId="39DCCEB6"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 young people</w:t>
                              </w:r>
                            </w:p>
                            <w:p w14:paraId="66F2F461"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 managers and responsible individuals</w:t>
                              </w:r>
                            </w:p>
                            <w:p w14:paraId="11962C65"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 social workers and IROs</w:t>
                              </w:r>
                            </w:p>
                            <w:p w14:paraId="4931DB88"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 commissioners</w:t>
                              </w:r>
                            </w:p>
                            <w:p w14:paraId="18BFDD21"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 regulation 44 independent people</w:t>
                              </w:r>
                            </w:p>
                            <w:p w14:paraId="139303F9" w14:textId="77777777" w:rsidR="00AC0C9A" w:rsidRDefault="00AC0C9A">
                              <w:pPr>
                                <w:pStyle w:val="NormalWeb"/>
                                <w:rPr>
                                  <w:rFonts w:ascii="Ubuntu" w:eastAsiaTheme="minorHAnsi" w:hAnsi="Ubuntu"/>
                                  <w:color w:val="000000"/>
                                  <w:sz w:val="21"/>
                                  <w:szCs w:val="21"/>
                                </w:rPr>
                              </w:pPr>
                              <w:r>
                                <w:rPr>
                                  <w:rStyle w:val="Strong"/>
                                  <w:rFonts w:ascii="Ubuntu" w:eastAsiaTheme="minorHAnsi" w:hAnsi="Ubuntu"/>
                                  <w:color w:val="000000"/>
                                  <w:sz w:val="27"/>
                                  <w:szCs w:val="27"/>
                                </w:rPr>
                                <w:t xml:space="preserve">The link to the survey with more information, including how your information will be treated confidentially, is </w:t>
                              </w:r>
                              <w:hyperlink r:id="rId4" w:tgtFrame="_blank" w:history="1">
                                <w:r>
                                  <w:rPr>
                                    <w:rStyle w:val="Hyperlink"/>
                                    <w:rFonts w:ascii="Ubuntu" w:eastAsiaTheme="minorHAnsi" w:hAnsi="Ubuntu"/>
                                    <w:b/>
                                    <w:bCs/>
                                    <w:color w:val="169179"/>
                                    <w:sz w:val="27"/>
                                    <w:szCs w:val="27"/>
                                  </w:rPr>
                                  <w:t>https://dialogueltd.co.uk/reg44-impact/</w:t>
                                </w:r>
                              </w:hyperlink>
                            </w:p>
                            <w:p w14:paraId="0A0C17CA"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1"/>
                                  <w:szCs w:val="21"/>
                                </w:rPr>
                                <w:t> </w:t>
                              </w:r>
                            </w:p>
                            <w:p w14:paraId="0CF959EE"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7"/>
                                  <w:szCs w:val="27"/>
                                </w:rPr>
                                <w:t xml:space="preserve">Inspectors will also be contributing their views to the </w:t>
                              </w:r>
                              <w:proofErr w:type="gramStart"/>
                              <w:r>
                                <w:rPr>
                                  <w:rFonts w:ascii="Ubuntu" w:eastAsiaTheme="minorHAnsi" w:hAnsi="Ubuntu"/>
                                  <w:color w:val="000000"/>
                                  <w:sz w:val="27"/>
                                  <w:szCs w:val="27"/>
                                </w:rPr>
                                <w:t>survey</w:t>
                              </w:r>
                              <w:proofErr w:type="gramEnd"/>
                              <w:r>
                                <w:rPr>
                                  <w:rFonts w:ascii="Ubuntu" w:eastAsiaTheme="minorHAnsi" w:hAnsi="Ubuntu"/>
                                  <w:color w:val="000000"/>
                                  <w:sz w:val="27"/>
                                  <w:szCs w:val="27"/>
                                </w:rPr>
                                <w:t xml:space="preserve"> and we look forward to the results later in the autumn. </w:t>
                              </w:r>
                            </w:p>
                            <w:p w14:paraId="54FBC61E" w14:textId="77777777" w:rsidR="00AC0C9A" w:rsidRDefault="00AC0C9A">
                              <w:pPr>
                                <w:pStyle w:val="NormalWeb"/>
                                <w:rPr>
                                  <w:rFonts w:ascii="Ubuntu" w:eastAsiaTheme="minorHAnsi" w:hAnsi="Ubuntu"/>
                                  <w:color w:val="000000"/>
                                  <w:sz w:val="21"/>
                                  <w:szCs w:val="21"/>
                                </w:rPr>
                              </w:pPr>
                              <w:r>
                                <w:rPr>
                                  <w:rFonts w:ascii="Ubuntu" w:eastAsiaTheme="minorHAnsi" w:hAnsi="Ubuntu"/>
                                  <w:color w:val="000000"/>
                                  <w:sz w:val="21"/>
                                  <w:szCs w:val="21"/>
                                </w:rPr>
                                <w:t> </w:t>
                              </w:r>
                            </w:p>
                            <w:p w14:paraId="59EC51C0" w14:textId="77777777" w:rsidR="00AC0C9A" w:rsidRDefault="00AC0C9A">
                              <w:pPr>
                                <w:pStyle w:val="NormalWeb"/>
                                <w:rPr>
                                  <w:rFonts w:ascii="Ubuntu" w:eastAsiaTheme="minorHAnsi" w:hAnsi="Ubuntu"/>
                                  <w:color w:val="000000"/>
                                  <w:sz w:val="21"/>
                                  <w:szCs w:val="21"/>
                                </w:rPr>
                              </w:pPr>
                              <w:r>
                                <w:rPr>
                                  <w:rStyle w:val="Strong"/>
                                  <w:rFonts w:ascii="Ubuntu" w:eastAsiaTheme="minorHAnsi" w:hAnsi="Ubuntu"/>
                                  <w:color w:val="000000"/>
                                  <w:sz w:val="27"/>
                                  <w:szCs w:val="27"/>
                                </w:rPr>
                                <w:t>Please feel free to circulate</w:t>
                              </w:r>
                            </w:p>
                          </w:tc>
                        </w:tr>
                        <w:tr w:rsidR="00AC0C9A" w14:paraId="453AA939" w14:textId="77777777">
                          <w:tc>
                            <w:tcPr>
                              <w:tcW w:w="0" w:type="auto"/>
                              <w:tcMar>
                                <w:top w:w="150" w:type="dxa"/>
                                <w:left w:w="300" w:type="dxa"/>
                                <w:bottom w:w="150" w:type="dxa"/>
                                <w:right w:w="300" w:type="dxa"/>
                              </w:tcMar>
                              <w:vAlign w:val="center"/>
                              <w:hideMark/>
                            </w:tcPr>
                            <w:tbl>
                              <w:tblPr>
                                <w:tblW w:w="7800" w:type="dxa"/>
                                <w:jc w:val="center"/>
                                <w:tblBorders>
                                  <w:top w:val="single" w:sz="12" w:space="0" w:color="63B3ED"/>
                                </w:tblBorders>
                                <w:tblCellMar>
                                  <w:left w:w="0" w:type="dxa"/>
                                  <w:right w:w="0" w:type="dxa"/>
                                </w:tblCellMar>
                                <w:tblLook w:val="04A0" w:firstRow="1" w:lastRow="0" w:firstColumn="1" w:lastColumn="0" w:noHBand="0" w:noVBand="1"/>
                              </w:tblPr>
                              <w:tblGrid>
                                <w:gridCol w:w="7800"/>
                              </w:tblGrid>
                              <w:tr w:rsidR="00AC0C9A" w14:paraId="3DA75319" w14:textId="77777777">
                                <w:trPr>
                                  <w:jc w:val="center"/>
                                </w:trPr>
                                <w:tc>
                                  <w:tcPr>
                                    <w:tcW w:w="0" w:type="auto"/>
                                    <w:tcBorders>
                                      <w:top w:val="single" w:sz="12" w:space="0" w:color="63B3ED"/>
                                      <w:left w:val="nil"/>
                                      <w:bottom w:val="nil"/>
                                      <w:right w:val="nil"/>
                                    </w:tcBorders>
                                    <w:vAlign w:val="center"/>
                                    <w:hideMark/>
                                  </w:tcPr>
                                  <w:p w14:paraId="2B036E33" w14:textId="77777777" w:rsidR="00AC0C9A" w:rsidRDefault="00AC0C9A">
                                    <w:pPr>
                                      <w:spacing w:line="0" w:lineRule="auto"/>
                                      <w:rPr>
                                        <w:sz w:val="2"/>
                                        <w:szCs w:val="2"/>
                                      </w:rPr>
                                    </w:pPr>
                                    <w:r>
                                      <w:rPr>
                                        <w:sz w:val="2"/>
                                        <w:szCs w:val="2"/>
                                      </w:rPr>
                                      <w:lastRenderedPageBreak/>
                                      <w:t xml:space="preserve">  </w:t>
                                    </w:r>
                                  </w:p>
                                </w:tc>
                              </w:tr>
                            </w:tbl>
                            <w:p w14:paraId="572BC53D" w14:textId="77777777" w:rsidR="00AC0C9A" w:rsidRDefault="00AC0C9A">
                              <w:pPr>
                                <w:jc w:val="center"/>
                                <w:rPr>
                                  <w:rFonts w:ascii="Times New Roman" w:hAnsi="Times New Roman" w:cs="Times New Roman"/>
                                </w:rPr>
                              </w:pPr>
                            </w:p>
                          </w:tc>
                        </w:tr>
                      </w:tbl>
                      <w:p w14:paraId="1C089B80" w14:textId="77777777" w:rsidR="00AC0C9A" w:rsidRDefault="00AC0C9A">
                        <w:pPr>
                          <w:rPr>
                            <w:rFonts w:ascii="Times New Roman" w:hAnsi="Times New Roman" w:cs="Times New Roman"/>
                          </w:rPr>
                        </w:pPr>
                      </w:p>
                    </w:tc>
                  </w:tr>
                </w:tbl>
                <w:p w14:paraId="33B9B45B" w14:textId="77777777" w:rsidR="00AC0C9A" w:rsidRDefault="00AC0C9A">
                  <w:pPr>
                    <w:jc w:val="center"/>
                    <w:rPr>
                      <w:rFonts w:ascii="Times New Roman" w:hAnsi="Times New Roman" w:cs="Times New Roman"/>
                    </w:rPr>
                  </w:pPr>
                </w:p>
              </w:tc>
            </w:tr>
          </w:tbl>
          <w:p w14:paraId="625386F8" w14:textId="77777777" w:rsidR="00AC0C9A" w:rsidRDefault="00AC0C9A">
            <w:pPr>
              <w:jc w:val="center"/>
              <w:rPr>
                <w:rFonts w:ascii="Times New Roman" w:hAnsi="Times New Roman" w:cs="Times New Roman"/>
              </w:rPr>
            </w:pPr>
          </w:p>
        </w:tc>
      </w:tr>
    </w:tbl>
    <w:p w14:paraId="4F2D74F2" w14:textId="77777777" w:rsidR="008A498B" w:rsidRDefault="008A498B"/>
    <w:sectPr w:rsidR="008A4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altName w:val="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9A"/>
    <w:rsid w:val="008A498B"/>
    <w:rsid w:val="00AC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0D06"/>
  <w15:chartTrackingRefBased/>
  <w15:docId w15:val="{A9F3EF96-9BDB-41D1-BAFF-4F952495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C9A"/>
    <w:pPr>
      <w:spacing w:after="0" w:line="240" w:lineRule="auto"/>
    </w:pPr>
    <w:rPr>
      <w:rFonts w:ascii="Calibri" w:eastAsia="Times New Roman" w:hAnsi="Calibri" w:cs="Calibri"/>
      <w:sz w:val="20"/>
      <w:szCs w:val="20"/>
      <w:lang w:eastAsia="en-GB"/>
    </w:rPr>
  </w:style>
  <w:style w:type="paragraph" w:styleId="Heading1">
    <w:name w:val="heading 1"/>
    <w:basedOn w:val="Normal"/>
    <w:link w:val="Heading1Char"/>
    <w:uiPriority w:val="9"/>
    <w:qFormat/>
    <w:rsid w:val="00AC0C9A"/>
    <w:pPr>
      <w:spacing w:before="100" w:beforeAutospacing="1" w:after="100" w:afterAutospacing="1"/>
      <w:outlineLvl w:val="0"/>
    </w:pPr>
    <w:rPr>
      <w:rFonts w:eastAsiaTheme="minorHAnsi"/>
      <w:b/>
      <w:bCs/>
      <w:kern w:val="36"/>
      <w:sz w:val="48"/>
      <w:szCs w:val="48"/>
    </w:rPr>
  </w:style>
  <w:style w:type="paragraph" w:styleId="Heading2">
    <w:name w:val="heading 2"/>
    <w:basedOn w:val="Normal"/>
    <w:link w:val="Heading2Char"/>
    <w:uiPriority w:val="9"/>
    <w:semiHidden/>
    <w:unhideWhenUsed/>
    <w:qFormat/>
    <w:rsid w:val="00AC0C9A"/>
    <w:pPr>
      <w:spacing w:before="100" w:beforeAutospacing="1" w:after="100" w:afterAutospacing="1"/>
      <w:outlineLvl w:val="1"/>
    </w:pPr>
    <w:rPr>
      <w:rFonts w:eastAsiaTheme="minorHAns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9A"/>
    <w:rPr>
      <w:rFonts w:ascii="Calibri" w:hAnsi="Calibri" w:cs="Calibri"/>
      <w:b/>
      <w:bCs/>
      <w:kern w:val="36"/>
      <w:sz w:val="48"/>
      <w:szCs w:val="48"/>
      <w:lang w:eastAsia="en-GB"/>
    </w:rPr>
  </w:style>
  <w:style w:type="character" w:customStyle="1" w:styleId="Heading2Char">
    <w:name w:val="Heading 2 Char"/>
    <w:basedOn w:val="DefaultParagraphFont"/>
    <w:link w:val="Heading2"/>
    <w:uiPriority w:val="9"/>
    <w:semiHidden/>
    <w:rsid w:val="00AC0C9A"/>
    <w:rPr>
      <w:rFonts w:ascii="Calibri" w:hAnsi="Calibri" w:cs="Calibri"/>
      <w:b/>
      <w:bCs/>
      <w:sz w:val="36"/>
      <w:szCs w:val="36"/>
      <w:lang w:eastAsia="en-GB"/>
    </w:rPr>
  </w:style>
  <w:style w:type="character" w:styleId="Hyperlink">
    <w:name w:val="Hyperlink"/>
    <w:basedOn w:val="DefaultParagraphFont"/>
    <w:uiPriority w:val="99"/>
    <w:semiHidden/>
    <w:unhideWhenUsed/>
    <w:rsid w:val="00AC0C9A"/>
    <w:rPr>
      <w:color w:val="0000FF"/>
      <w:u w:val="single"/>
    </w:rPr>
  </w:style>
  <w:style w:type="paragraph" w:styleId="NormalWeb">
    <w:name w:val="Normal (Web)"/>
    <w:basedOn w:val="Normal"/>
    <w:uiPriority w:val="99"/>
    <w:semiHidden/>
    <w:unhideWhenUsed/>
    <w:rsid w:val="00AC0C9A"/>
    <w:pPr>
      <w:spacing w:before="195" w:after="195"/>
    </w:pPr>
  </w:style>
  <w:style w:type="character" w:styleId="Strong">
    <w:name w:val="Strong"/>
    <w:basedOn w:val="DefaultParagraphFont"/>
    <w:uiPriority w:val="22"/>
    <w:qFormat/>
    <w:rsid w:val="00AC0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6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12.safelinks.protection.outlook.com/?url=http%3A%2F%2Femail.email.dialogueltd.co.uk%2Fc%2FeJxlT8tqwzAQ_BrrVmG97YMOISFQSgNtD-0tyCspFl4j15FD06-v2mthLrPzWAbOyduXd9zDpD5x_8Tv26O4fSyZYIZfrVffxxM7nGT3ha_KHJ7Rv5Ewu4Tncl-CzWUMK0mWt5y3PdNMS6YUNcEZ79vOm8Eb7kUj278Q9clhvmwBi6eQ6TaR0cqeQStqAfRRdF0cDNcuGCOM5MpFRtCOpSzXRuwafqz4V1Jva7hI-ZDmxUGplKwWXBSMQqy_81Yw56maZxIs01oIqRVTpA7kDgbxA1W-UfE&amp;data=05%7C01%7C%7Ced7f80d8fa5a4afa9f8308da98025df9%7C84df9e7fe9f640afb435aaaaaaaaaaaa%7C1%7C0%7C637989433176302320%7CUnknown%7CTWFpbGZsb3d8eyJWIjoiMC4wLjAwMDAiLCJQIjoiV2luMzIiLCJBTiI6Ik1haWwiLCJXVCI6Mn0%3D%7C3000%7C%7C%7C&amp;sdata=tF7afHxOj4d2DAHqMVi0Ds2k825yoT4ENCIv%2FJyjzW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Freestone</dc:creator>
  <cp:keywords/>
  <dc:description/>
  <cp:lastModifiedBy>Christine Freestone</cp:lastModifiedBy>
  <cp:revision>1</cp:revision>
  <dcterms:created xsi:type="dcterms:W3CDTF">2022-09-20T11:12:00Z</dcterms:created>
  <dcterms:modified xsi:type="dcterms:W3CDTF">2022-09-20T11:14:00Z</dcterms:modified>
</cp:coreProperties>
</file>